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91"/>
        </w:tabs>
        <w:jc w:val="center"/>
      </w:pPr>
    </w:p>
    <w:p>
      <w:pPr>
        <w:tabs>
          <w:tab w:val="left" w:pos="2391"/>
        </w:tabs>
        <w:jc w:val="center"/>
        <w:rPr>
          <w:rFonts w:asciiTheme="minorEastAsia" w:hAnsiTheme="minorEastAsia"/>
          <w:b/>
          <w:bCs/>
          <w:sz w:val="32"/>
          <w:szCs w:val="32"/>
        </w:rPr>
      </w:pPr>
      <w:r>
        <w:rPr>
          <w:rFonts w:hint="eastAsia" w:asciiTheme="minorEastAsia" w:hAnsiTheme="minorEastAsia"/>
          <w:b/>
          <w:bCs/>
          <w:sz w:val="32"/>
          <w:szCs w:val="32"/>
        </w:rPr>
        <w:t>企业介绍</w:t>
      </w:r>
    </w:p>
    <w:p>
      <w:pPr>
        <w:tabs>
          <w:tab w:val="left" w:pos="2391"/>
        </w:tabs>
        <w:jc w:val="center"/>
        <w:rPr>
          <w:sz w:val="28"/>
          <w:szCs w:val="28"/>
        </w:rPr>
      </w:pPr>
    </w:p>
    <w:p>
      <w:pPr>
        <w:tabs>
          <w:tab w:val="left" w:pos="2391"/>
        </w:tabs>
        <w:ind w:firstLine="560" w:firstLineChars="200"/>
        <w:jc w:val="left"/>
        <w:rPr>
          <w:rFonts w:ascii="仿宋" w:hAnsi="仿宋" w:eastAsia="仿宋"/>
          <w:sz w:val="28"/>
          <w:szCs w:val="28"/>
        </w:rPr>
      </w:pPr>
      <w:r>
        <w:rPr>
          <w:rFonts w:hint="eastAsia" w:ascii="仿宋" w:hAnsi="仿宋" w:eastAsia="仿宋"/>
          <w:sz w:val="28"/>
          <w:szCs w:val="28"/>
        </w:rPr>
        <w:t>中庚汇建设发展有限公司（简称“中庚汇”），由中庚地产集团于2017年4月主导收购原南平三建创立而成，注册资本为人民币10166.8万元，注册地在福建省福州市马尾琅岐经济开发区，企业资质为建筑工程施工总承包壹级和市政公用工程施工总承包二级，以及其他相关专业分包资质。</w:t>
      </w:r>
    </w:p>
    <w:p>
      <w:pPr>
        <w:tabs>
          <w:tab w:val="left" w:pos="2391"/>
        </w:tabs>
        <w:jc w:val="left"/>
        <w:rPr>
          <w:rFonts w:ascii="仿宋" w:hAnsi="仿宋" w:eastAsia="仿宋"/>
          <w:sz w:val="28"/>
          <w:szCs w:val="28"/>
        </w:rPr>
      </w:pPr>
      <w:r>
        <w:rPr>
          <w:rFonts w:hint="eastAsia" w:ascii="仿宋" w:hAnsi="仿宋" w:eastAsia="仿宋"/>
          <w:sz w:val="28"/>
          <w:szCs w:val="28"/>
        </w:rPr>
        <w:t xml:space="preserve">    企业经营范围为房屋建筑工程、市政公用工程、城市园林绿化工程、钢结构工程、地基基础工程、环保工程、消防设施工程的施工；装饰装修工程设计与施工。截至2018年9月底，公司现有一级建造师25人、二级建造师33人、高级工程师20人、中级工程师36人，其余各类岗位技术人员超170余人。</w:t>
      </w:r>
    </w:p>
    <w:p>
      <w:pPr>
        <w:tabs>
          <w:tab w:val="left" w:pos="2391"/>
        </w:tabs>
        <w:ind w:firstLine="560" w:firstLineChars="200"/>
        <w:jc w:val="left"/>
        <w:rPr>
          <w:rFonts w:ascii="仿宋" w:hAnsi="仿宋" w:eastAsia="仿宋"/>
          <w:sz w:val="28"/>
          <w:szCs w:val="28"/>
        </w:rPr>
      </w:pPr>
      <w:r>
        <w:rPr>
          <w:rFonts w:hint="eastAsia" w:ascii="仿宋" w:hAnsi="仿宋" w:eastAsia="仿宋"/>
          <w:sz w:val="28"/>
          <w:szCs w:val="28"/>
        </w:rPr>
        <w:t>两年来，秉承“创建品质，用心筑家”的企业精神和恪守“质量第一、客户至上”的服务宗旨，中庚汇坚持立足海西，辐射全国，先后在海西经济区、环渤海经济区以及成渝经济圈成功承建多个项目。</w:t>
      </w:r>
    </w:p>
    <w:p>
      <w:pPr>
        <w:tabs>
          <w:tab w:val="left" w:pos="2391"/>
        </w:tabs>
        <w:ind w:firstLine="560" w:firstLineChars="200"/>
        <w:jc w:val="left"/>
        <w:rPr>
          <w:rFonts w:ascii="仿宋" w:hAnsi="仿宋" w:eastAsia="仿宋"/>
          <w:sz w:val="28"/>
          <w:szCs w:val="28"/>
        </w:rPr>
      </w:pPr>
      <w:r>
        <w:rPr>
          <w:rFonts w:hint="eastAsia" w:ascii="仿宋" w:hAnsi="仿宋" w:eastAsia="仿宋"/>
          <w:sz w:val="28"/>
          <w:szCs w:val="28"/>
        </w:rPr>
        <w:t>中庚汇自成立以来公司依托地产 集团以过硬的品质实现了企业从小到大，从弱到强的变迁和飞跃，获得了政府、客户、合作伙伴及业界的充分肯定。</w:t>
      </w:r>
    </w:p>
    <w:p>
      <w:pPr>
        <w:tabs>
          <w:tab w:val="left" w:pos="2391"/>
        </w:tabs>
        <w:jc w:val="left"/>
        <w:rPr>
          <w:rFonts w:ascii="仿宋" w:hAnsi="仿宋" w:eastAsia="仿宋"/>
          <w:sz w:val="28"/>
          <w:szCs w:val="28"/>
        </w:rPr>
      </w:pPr>
      <w:r>
        <w:rPr>
          <w:rFonts w:hint="eastAsia" w:ascii="仿宋" w:hAnsi="仿宋" w:eastAsia="仿宋"/>
          <w:sz w:val="28"/>
          <w:szCs w:val="28"/>
        </w:rPr>
        <w:t xml:space="preserve">    2017年以来在福州地区中庚汇承建罗源 “香山小镇”、连江“香江世界”、连江“香悦公馆”、马尾琅岐 “香山海湾城”、五四北“香山新时代”、福清“香匯融江三期·香澜”、福清“香匯新时代”、盐城“香海新时代名苑”、重庆“中庚城”、大连东港“当代艺术”，以及即将在上海、浙江舟山、湖北十堰、河北石家庄、邯郸等地承建一系列大型项目。在未来五年, 中庚汇施工产值将超过200亿。</w:t>
      </w:r>
    </w:p>
    <w:p>
      <w:pPr>
        <w:tabs>
          <w:tab w:val="left" w:pos="2391"/>
        </w:tabs>
        <w:ind w:firstLine="560" w:firstLineChars="200"/>
        <w:rPr>
          <w:rFonts w:ascii="仿宋" w:hAnsi="仿宋" w:eastAsia="仿宋"/>
          <w:sz w:val="28"/>
          <w:szCs w:val="28"/>
        </w:rPr>
      </w:pPr>
      <w:r>
        <w:rPr>
          <w:rFonts w:hint="eastAsia" w:ascii="仿宋" w:hAnsi="仿宋" w:eastAsia="仿宋"/>
          <w:sz w:val="28"/>
          <w:szCs w:val="28"/>
        </w:rPr>
        <w:t xml:space="preserve">多年来，“创建品质，用心筑家”的核心理念伴随着企业。我们坚持，以创新的理念打造每一个产品；我们坚信，要以用心的态度服务每一个客户。中庚汇承建的每一个项目，每一套住宅，每一个细节都经过精心打造，精益求精；每一种材料都经过选而又选，每一道工序都经过严查严控……中庚汇承建的项目必将获得业主和社会的好评。        </w:t>
      </w:r>
      <w:r>
        <w:rPr>
          <w:rFonts w:ascii="仿宋" w:hAnsi="仿宋" w:eastAsia="仿宋"/>
          <w:sz w:val="28"/>
          <w:szCs w:val="28"/>
        </w:rPr>
        <w:t xml:space="preserve">   </w:t>
      </w:r>
    </w:p>
    <w:p>
      <w:pPr>
        <w:tabs>
          <w:tab w:val="left" w:pos="2391"/>
        </w:tabs>
        <w:ind w:firstLine="560" w:firstLineChars="200"/>
        <w:rPr>
          <w:rFonts w:ascii="仿宋" w:hAnsi="仿宋" w:eastAsia="仿宋"/>
          <w:sz w:val="28"/>
          <w:szCs w:val="28"/>
        </w:rPr>
      </w:pPr>
      <w:r>
        <w:rPr>
          <w:rFonts w:hint="eastAsia" w:ascii="仿宋" w:hAnsi="仿宋" w:eastAsia="仿宋"/>
          <w:sz w:val="28"/>
          <w:szCs w:val="28"/>
        </w:rPr>
        <w:t>2017年4月，企业与中庚集团建立了战略合作伙伴关系。未来，中庚汇将利用集团房地产版块的施工产值规模，多种融资方式并举，实现融资规模成比例大幅度增长；利用积累的资金实力，采取多种经营管理方式，走向市场承接更多其他工程，实现五年施工产值超过200亿的目标。争取五年后取得施工总承包特级资质,在企业取得长足发展的基础上, 为企业开拓更为广大的发展空间。</w:t>
      </w:r>
    </w:p>
    <w:p>
      <w:pPr>
        <w:tabs>
          <w:tab w:val="left" w:pos="2391"/>
        </w:tabs>
        <w:jc w:val="left"/>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仿宋" w:hAnsi="仿宋" w:eastAsia="仿宋"/>
        </w:rPr>
      </w:pPr>
    </w:p>
    <w:p>
      <w:pPr>
        <w:tabs>
          <w:tab w:val="left" w:pos="2391"/>
        </w:tabs>
        <w:jc w:val="center"/>
        <w:rPr>
          <w:rFonts w:asciiTheme="minorEastAsia" w:hAnsiTheme="minorEastAsia"/>
          <w:b/>
          <w:bCs/>
          <w:sz w:val="32"/>
          <w:szCs w:val="32"/>
        </w:rPr>
      </w:pPr>
      <w:r>
        <w:rPr>
          <w:rFonts w:hint="eastAsia" w:asciiTheme="minorEastAsia" w:hAnsiTheme="minorEastAsia"/>
          <w:b/>
          <w:bCs/>
          <w:sz w:val="32"/>
          <w:szCs w:val="32"/>
        </w:rPr>
        <w:t>管培生培养计划</w:t>
      </w:r>
    </w:p>
    <w:p>
      <w:pPr>
        <w:tabs>
          <w:tab w:val="left" w:pos="2391"/>
        </w:tabs>
        <w:jc w:val="center"/>
        <w:rPr>
          <w:rFonts w:ascii="仿宋" w:hAnsi="仿宋" w:eastAsia="仿宋"/>
          <w:sz w:val="28"/>
          <w:szCs w:val="28"/>
        </w:rPr>
      </w:pPr>
    </w:p>
    <w:p>
      <w:pPr>
        <w:tabs>
          <w:tab w:val="left" w:pos="2391"/>
        </w:tabs>
        <w:jc w:val="left"/>
        <w:rPr>
          <w:rFonts w:ascii="仿宋" w:hAnsi="仿宋" w:eastAsia="仿宋"/>
          <w:b/>
          <w:sz w:val="28"/>
          <w:szCs w:val="28"/>
        </w:rPr>
      </w:pPr>
      <w:r>
        <w:rPr>
          <w:rFonts w:hint="eastAsia" w:ascii="仿宋" w:hAnsi="仿宋" w:eastAsia="仿宋"/>
          <w:b/>
          <w:sz w:val="28"/>
          <w:szCs w:val="28"/>
        </w:rPr>
        <w:t>一个目标：中庚汇中坚力量</w:t>
      </w:r>
    </w:p>
    <w:p>
      <w:pPr>
        <w:tabs>
          <w:tab w:val="left" w:pos="2391"/>
        </w:tabs>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企业要发展，人才是关键。公司从成立之初就引进高端院校的毕业生进行培养；志在打造中庚汇自己的中坚力量。</w:t>
      </w:r>
    </w:p>
    <w:p>
      <w:pPr>
        <w:tabs>
          <w:tab w:val="left" w:pos="2391"/>
        </w:tabs>
        <w:jc w:val="left"/>
        <w:rPr>
          <w:rFonts w:ascii="仿宋" w:hAnsi="仿宋" w:eastAsia="仿宋"/>
          <w:b/>
          <w:sz w:val="28"/>
          <w:szCs w:val="28"/>
        </w:rPr>
      </w:pPr>
      <w:r>
        <w:rPr>
          <w:rFonts w:hint="eastAsia" w:ascii="仿宋" w:hAnsi="仿宋" w:eastAsia="仿宋"/>
          <w:b/>
          <w:sz w:val="28"/>
          <w:szCs w:val="28"/>
        </w:rPr>
        <w:t>两个培养机制：双导师机制、双通道机制</w:t>
      </w:r>
    </w:p>
    <w:p>
      <w:pPr>
        <w:tabs>
          <w:tab w:val="left" w:pos="2391"/>
        </w:tabs>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人力资源部的导师和项目部管理人员的导师；以及职能口的管理岗位的晋升通道和工程技术口岗位的晋升通道。</w:t>
      </w:r>
    </w:p>
    <w:p>
      <w:pPr>
        <w:tabs>
          <w:tab w:val="left" w:pos="2391"/>
        </w:tabs>
        <w:jc w:val="left"/>
        <w:rPr>
          <w:rFonts w:ascii="仿宋" w:hAnsi="仿宋" w:eastAsia="仿宋"/>
          <w:b/>
          <w:sz w:val="28"/>
          <w:szCs w:val="28"/>
        </w:rPr>
      </w:pPr>
      <w:r>
        <w:rPr>
          <w:rFonts w:hint="eastAsia" w:ascii="仿宋" w:hAnsi="仿宋" w:eastAsia="仿宋"/>
          <w:b/>
          <w:sz w:val="28"/>
          <w:szCs w:val="28"/>
        </w:rPr>
        <w:t>三个阶段：适应期、成长期、突破期</w:t>
      </w:r>
    </w:p>
    <w:p>
      <w:pPr>
        <w:tabs>
          <w:tab w:val="left" w:pos="2391"/>
        </w:tabs>
        <w:ind w:firstLine="570"/>
        <w:jc w:val="left"/>
        <w:rPr>
          <w:rFonts w:ascii="仿宋" w:hAnsi="仿宋" w:eastAsia="仿宋"/>
          <w:sz w:val="28"/>
          <w:szCs w:val="28"/>
        </w:rPr>
      </w:pPr>
      <w:r>
        <w:rPr>
          <w:rFonts w:hint="eastAsia" w:ascii="仿宋" w:hAnsi="仿宋" w:eastAsia="仿宋"/>
          <w:sz w:val="28"/>
          <w:szCs w:val="28"/>
        </w:rPr>
        <w:t>做好三个阶段的人员管理工作</w:t>
      </w:r>
    </w:p>
    <w:p>
      <w:pPr>
        <w:tabs>
          <w:tab w:val="left" w:pos="2391"/>
        </w:tabs>
        <w:ind w:firstLine="570"/>
        <w:jc w:val="left"/>
        <w:rPr>
          <w:rFonts w:ascii="仿宋" w:hAnsi="仿宋" w:eastAsia="仿宋"/>
          <w:sz w:val="28"/>
          <w:szCs w:val="28"/>
        </w:rPr>
      </w:pPr>
      <w:r>
        <w:rPr>
          <w:rFonts w:hint="eastAsia" w:ascii="仿宋" w:hAnsi="仿宋" w:eastAsia="仿宋"/>
          <w:sz w:val="28"/>
          <w:szCs w:val="28"/>
        </w:rPr>
        <w:t>适应期：学生在入职1-2月的适应期的跟进和关怀；</w:t>
      </w:r>
    </w:p>
    <w:p>
      <w:pPr>
        <w:tabs>
          <w:tab w:val="left" w:pos="2391"/>
        </w:tabs>
        <w:ind w:firstLine="570"/>
        <w:jc w:val="left"/>
        <w:rPr>
          <w:rFonts w:ascii="仿宋" w:hAnsi="仿宋" w:eastAsia="仿宋"/>
          <w:sz w:val="28"/>
          <w:szCs w:val="28"/>
        </w:rPr>
      </w:pPr>
      <w:r>
        <w:rPr>
          <w:rFonts w:hint="eastAsia" w:ascii="仿宋" w:hAnsi="仿宋" w:eastAsia="仿宋"/>
          <w:sz w:val="28"/>
          <w:szCs w:val="28"/>
        </w:rPr>
        <w:t>成长期：1-3年的成长，给与更多的机会，给与更多的培训和学习；</w:t>
      </w:r>
    </w:p>
    <w:p>
      <w:pPr>
        <w:tabs>
          <w:tab w:val="left" w:pos="2391"/>
        </w:tabs>
        <w:ind w:firstLine="570"/>
        <w:jc w:val="left"/>
        <w:rPr>
          <w:rFonts w:ascii="仿宋" w:hAnsi="仿宋" w:eastAsia="仿宋"/>
          <w:sz w:val="28"/>
          <w:szCs w:val="28"/>
        </w:rPr>
      </w:pPr>
      <w:r>
        <w:rPr>
          <w:rFonts w:hint="eastAsia" w:ascii="仿宋" w:hAnsi="仿宋" w:eastAsia="仿宋"/>
          <w:sz w:val="28"/>
          <w:szCs w:val="28"/>
        </w:rPr>
        <w:t>突破期：4-5年，给与良好发展平台，留人。</w:t>
      </w:r>
    </w:p>
    <w:p>
      <w:pPr>
        <w:tabs>
          <w:tab w:val="left" w:pos="2391"/>
        </w:tabs>
        <w:jc w:val="left"/>
        <w:rPr>
          <w:rFonts w:ascii="仿宋" w:hAnsi="仿宋" w:eastAsia="仿宋"/>
          <w:b/>
          <w:sz w:val="28"/>
          <w:szCs w:val="28"/>
        </w:rPr>
      </w:pPr>
      <w:r>
        <w:rPr>
          <w:rFonts w:hint="eastAsia" w:ascii="仿宋" w:hAnsi="仿宋" w:eastAsia="仿宋"/>
          <w:b/>
          <w:sz w:val="28"/>
          <w:szCs w:val="28"/>
        </w:rPr>
        <w:t>四个考核：季度考核、年度考核、晋升考核、轮岗考核</w:t>
      </w:r>
    </w:p>
    <w:p>
      <w:pPr>
        <w:tabs>
          <w:tab w:val="left" w:pos="2391"/>
        </w:tabs>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每个阶段根据成长情况和岗位需要进行定期和不定期考核，并给与指导，让管培生明白下一个阶段的发展目标。</w:t>
      </w:r>
    </w:p>
    <w:p>
      <w:pPr>
        <w:tabs>
          <w:tab w:val="left" w:pos="2391"/>
        </w:tabs>
        <w:jc w:val="left"/>
        <w:rPr>
          <w:rFonts w:ascii="仿宋" w:hAnsi="仿宋" w:eastAsia="仿宋"/>
          <w:b/>
          <w:sz w:val="28"/>
          <w:szCs w:val="28"/>
        </w:rPr>
      </w:pPr>
      <w:r>
        <w:rPr>
          <w:rFonts w:hint="eastAsia" w:ascii="仿宋" w:hAnsi="仿宋" w:eastAsia="仿宋"/>
          <w:b/>
          <w:sz w:val="28"/>
          <w:szCs w:val="28"/>
        </w:rPr>
        <w:t>五年计划：进入职场、职业转身、专业担当、骨干员工、独挑大梁</w:t>
      </w:r>
    </w:p>
    <w:p>
      <w:pPr>
        <w:tabs>
          <w:tab w:val="left" w:pos="2391"/>
        </w:tabs>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给管培生制定完善的五年计划，做好角色定位。</w:t>
      </w:r>
    </w:p>
    <w:p>
      <w:pPr>
        <w:tabs>
          <w:tab w:val="left" w:pos="2391"/>
        </w:tabs>
        <w:jc w:val="center"/>
        <w:rPr>
          <w:rFonts w:ascii="仿宋" w:hAnsi="仿宋" w:eastAsia="仿宋"/>
          <w:sz w:val="28"/>
          <w:szCs w:val="28"/>
        </w:rPr>
      </w:pPr>
    </w:p>
    <w:p>
      <w:pPr>
        <w:tabs>
          <w:tab w:val="left" w:pos="2391"/>
        </w:tabs>
        <w:jc w:val="center"/>
        <w:rPr>
          <w:rFonts w:ascii="仿宋" w:hAnsi="仿宋" w:eastAsia="仿宋"/>
          <w:sz w:val="28"/>
          <w:szCs w:val="28"/>
        </w:rPr>
      </w:pPr>
    </w:p>
    <w:p>
      <w:pPr>
        <w:tabs>
          <w:tab w:val="left" w:pos="2391"/>
        </w:tabs>
        <w:jc w:val="center"/>
        <w:rPr>
          <w:rFonts w:ascii="仿宋" w:hAnsi="仿宋" w:eastAsia="仿宋"/>
          <w:sz w:val="28"/>
          <w:szCs w:val="28"/>
        </w:rPr>
      </w:pPr>
    </w:p>
    <w:p>
      <w:pPr>
        <w:tabs>
          <w:tab w:val="left" w:pos="2391"/>
        </w:tabs>
        <w:jc w:val="center"/>
        <w:rPr>
          <w:rFonts w:hint="eastAsia" w:asciiTheme="minorEastAsia" w:hAnsiTheme="minorEastAsia"/>
          <w:b/>
          <w:bCs/>
          <w:sz w:val="32"/>
          <w:szCs w:val="32"/>
        </w:rPr>
      </w:pPr>
      <w:r>
        <w:rPr>
          <w:rFonts w:hint="eastAsia" w:asciiTheme="minorEastAsia" w:hAnsiTheme="minorEastAsia"/>
          <w:b/>
          <w:bCs/>
          <w:sz w:val="32"/>
          <w:szCs w:val="32"/>
        </w:rPr>
        <w:t>招聘岗位</w:t>
      </w:r>
    </w:p>
    <w:p>
      <w:pPr>
        <w:tabs>
          <w:tab w:val="left" w:pos="2391"/>
        </w:tabs>
        <w:jc w:val="center"/>
        <w:rPr>
          <w:rFonts w:hint="eastAsia" w:asciiTheme="minorEastAsia" w:hAnsiTheme="minorEastAsia"/>
          <w:b/>
          <w:bCs/>
          <w:sz w:val="32"/>
          <w:szCs w:val="32"/>
        </w:rPr>
      </w:pPr>
    </w:p>
    <w:p>
      <w:pPr>
        <w:tabs>
          <w:tab w:val="left" w:pos="2391"/>
        </w:tabs>
        <w:jc w:val="center"/>
        <w:rPr>
          <w:rFonts w:hint="eastAsia" w:asciiTheme="minorEastAsia" w:hAnsiTheme="minorEastAsia"/>
          <w:b/>
          <w:bCs/>
          <w:sz w:val="32"/>
          <w:szCs w:val="32"/>
        </w:rPr>
      </w:pPr>
      <w:bookmarkStart w:id="0" w:name="_GoBack"/>
      <w:bookmarkEnd w:id="0"/>
    </w:p>
    <w:tbl>
      <w:tblPr>
        <w:tblStyle w:val="8"/>
        <w:tblW w:w="8456" w:type="dxa"/>
        <w:tblInd w:w="0" w:type="dxa"/>
        <w:tblLayout w:type="fixed"/>
        <w:tblCellMar>
          <w:top w:w="0" w:type="dxa"/>
          <w:left w:w="108" w:type="dxa"/>
          <w:bottom w:w="0" w:type="dxa"/>
          <w:right w:w="108" w:type="dxa"/>
        </w:tblCellMar>
      </w:tblPr>
      <w:tblGrid>
        <w:gridCol w:w="1385"/>
        <w:gridCol w:w="2629"/>
        <w:gridCol w:w="2871"/>
        <w:gridCol w:w="1571"/>
      </w:tblGrid>
      <w:tr>
        <w:tblPrEx>
          <w:tblLayout w:type="fixed"/>
          <w:tblCellMar>
            <w:top w:w="0" w:type="dxa"/>
            <w:left w:w="108" w:type="dxa"/>
            <w:bottom w:w="0" w:type="dxa"/>
            <w:right w:w="108" w:type="dxa"/>
          </w:tblCellMar>
        </w:tblPrEx>
        <w:trPr>
          <w:trHeight w:val="865"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岗位</w:t>
            </w:r>
          </w:p>
        </w:tc>
        <w:tc>
          <w:tcPr>
            <w:tcW w:w="26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岗位职责</w:t>
            </w:r>
          </w:p>
        </w:tc>
        <w:tc>
          <w:tcPr>
            <w:tcW w:w="2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应聘要求</w:t>
            </w:r>
          </w:p>
        </w:tc>
        <w:tc>
          <w:tcPr>
            <w:tcW w:w="15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培养方向</w:t>
            </w:r>
          </w:p>
        </w:tc>
      </w:tr>
      <w:tr>
        <w:tblPrEx>
          <w:tblLayout w:type="fixed"/>
          <w:tblCellMar>
            <w:top w:w="0" w:type="dxa"/>
            <w:left w:w="108" w:type="dxa"/>
            <w:bottom w:w="0" w:type="dxa"/>
            <w:right w:w="108" w:type="dxa"/>
          </w:tblCellMar>
        </w:tblPrEx>
        <w:trPr>
          <w:trHeight w:val="865"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助理施工员</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现场协助施工员开展管理工作</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土木工程，工程管理等相关专业</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项目经理</w:t>
            </w:r>
          </w:p>
        </w:tc>
      </w:tr>
      <w:tr>
        <w:tblPrEx>
          <w:tblLayout w:type="fixed"/>
          <w:tblCellMar>
            <w:top w:w="0" w:type="dxa"/>
            <w:left w:w="108" w:type="dxa"/>
            <w:bottom w:w="0" w:type="dxa"/>
            <w:right w:w="108" w:type="dxa"/>
          </w:tblCellMar>
        </w:tblPrEx>
        <w:trPr>
          <w:trHeight w:val="865"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助理安全员</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现场协助安全员开展管理工作</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安全管理，工程管理等相关专业</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安全经理</w:t>
            </w:r>
          </w:p>
        </w:tc>
      </w:tr>
      <w:tr>
        <w:tblPrEx>
          <w:tblLayout w:type="fixed"/>
          <w:tblCellMar>
            <w:top w:w="0" w:type="dxa"/>
            <w:left w:w="108" w:type="dxa"/>
            <w:bottom w:w="0" w:type="dxa"/>
            <w:right w:w="108" w:type="dxa"/>
          </w:tblCellMar>
        </w:tblPrEx>
        <w:trPr>
          <w:trHeight w:val="865"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助理项目会计</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现场协助项目经理开展管理工作</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会计管理，审计管理等相关专业</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财务经理</w:t>
            </w:r>
          </w:p>
        </w:tc>
      </w:tr>
    </w:tbl>
    <w:p>
      <w:pPr>
        <w:tabs>
          <w:tab w:val="left" w:pos="2391"/>
        </w:tabs>
        <w:jc w:val="center"/>
        <w:rPr>
          <w:rFonts w:ascii="仿宋" w:hAnsi="仿宋" w:eastAsia="仿宋"/>
          <w:sz w:val="28"/>
          <w:szCs w:val="28"/>
        </w:rPr>
      </w:pPr>
    </w:p>
    <w:p>
      <w:pPr>
        <w:tabs>
          <w:tab w:val="left" w:pos="2391"/>
        </w:tabs>
        <w:jc w:val="center"/>
        <w:rPr>
          <w:rFonts w:ascii="仿宋" w:hAnsi="仿宋" w:eastAsia="仿宋"/>
          <w:sz w:val="28"/>
          <w:szCs w:val="28"/>
        </w:rPr>
      </w:pPr>
    </w:p>
    <w:p>
      <w:pPr>
        <w:tabs>
          <w:tab w:val="left" w:pos="2391"/>
        </w:tabs>
        <w:jc w:val="center"/>
        <w:rPr>
          <w:rFonts w:ascii="仿宋" w:hAnsi="仿宋" w:eastAsia="仿宋"/>
          <w:sz w:val="28"/>
          <w:szCs w:val="28"/>
        </w:rPr>
      </w:pPr>
      <w:r>
        <w:rPr>
          <w:rFonts w:hint="eastAsia" w:ascii="仿宋" w:hAnsi="仿宋" w:eastAsia="仿宋"/>
          <w:sz w:val="28"/>
          <w:szCs w:val="28"/>
        </w:rPr>
        <w:t>联系电话：0591-87666597</w:t>
      </w:r>
    </w:p>
    <w:p>
      <w:pPr>
        <w:tabs>
          <w:tab w:val="left" w:pos="2391"/>
        </w:tabs>
        <w:jc w:val="center"/>
        <w:rPr>
          <w:rFonts w:ascii="仿宋" w:hAnsi="仿宋" w:eastAsia="仿宋"/>
          <w:sz w:val="28"/>
          <w:szCs w:val="28"/>
        </w:rPr>
      </w:pPr>
      <w:r>
        <w:rPr>
          <w:rFonts w:hint="eastAsia" w:ascii="仿宋" w:hAnsi="仿宋" w:eastAsia="仿宋"/>
          <w:sz w:val="28"/>
          <w:szCs w:val="28"/>
        </w:rPr>
        <w:t>电子邮箱：</w:t>
      </w:r>
      <w:r>
        <w:fldChar w:fldCharType="begin"/>
      </w:r>
      <w:r>
        <w:instrText xml:space="preserve"> HYPERLINK "mailto:315890020@qq.com" </w:instrText>
      </w:r>
      <w:r>
        <w:fldChar w:fldCharType="separate"/>
      </w:r>
      <w:r>
        <w:rPr>
          <w:rStyle w:val="7"/>
          <w:rFonts w:ascii="仿宋" w:hAnsi="仿宋" w:eastAsia="仿宋"/>
          <w:sz w:val="28"/>
          <w:szCs w:val="28"/>
        </w:rPr>
        <w:t>315890020@qq</w:t>
      </w:r>
      <w:r>
        <w:rPr>
          <w:rStyle w:val="7"/>
          <w:rFonts w:hint="eastAsia" w:ascii="仿宋" w:hAnsi="仿宋" w:eastAsia="仿宋"/>
          <w:sz w:val="28"/>
          <w:szCs w:val="28"/>
        </w:rPr>
        <w:t>.</w:t>
      </w:r>
      <w:r>
        <w:rPr>
          <w:rStyle w:val="7"/>
          <w:rFonts w:ascii="仿宋" w:hAnsi="仿宋" w:eastAsia="仿宋"/>
          <w:sz w:val="28"/>
          <w:szCs w:val="28"/>
        </w:rPr>
        <w:t>com</w:t>
      </w:r>
      <w:r>
        <w:rPr>
          <w:rStyle w:val="7"/>
          <w:rFonts w:ascii="仿宋" w:hAnsi="仿宋" w:eastAsia="仿宋"/>
          <w:sz w:val="28"/>
          <w:szCs w:val="28"/>
        </w:rPr>
        <w:fldChar w:fldCharType="end"/>
      </w:r>
    </w:p>
    <w:p>
      <w:pPr>
        <w:tabs>
          <w:tab w:val="left" w:pos="2391"/>
        </w:tabs>
        <w:jc w:val="center"/>
        <w:rPr>
          <w:rFonts w:hint="eastAsia" w:ascii="仿宋" w:hAnsi="仿宋" w:eastAsia="仿宋"/>
          <w:sz w:val="28"/>
          <w:szCs w:val="28"/>
        </w:rPr>
      </w:pPr>
    </w:p>
    <w:p>
      <w:pPr>
        <w:tabs>
          <w:tab w:val="left" w:pos="2391"/>
        </w:tabs>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679595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jc w:val="left"/>
    </w:pPr>
    <w:r>
      <w:drawing>
        <wp:inline distT="0" distB="0" distL="0" distR="0">
          <wp:extent cx="1146810" cy="288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724" cy="300477"/>
                  </a:xfrm>
                  <a:prstGeom prst="rect">
                    <a:avLst/>
                  </a:prstGeom>
                </pic:spPr>
              </pic:pic>
            </a:graphicData>
          </a:graphic>
        </wp:inline>
      </w:drawing>
    </w:r>
    <w:r>
      <w:t xml:space="preserve">             </w:t>
    </w:r>
    <w:r>
      <w:rPr>
        <w:rFonts w:ascii="仿宋" w:hAnsi="仿宋" w:eastAsia="仿宋"/>
      </w:rPr>
      <w:t xml:space="preserve">   </w:t>
    </w:r>
    <w:r>
      <w:rPr>
        <w:rFonts w:hint="eastAsia" w:ascii="仿宋" w:hAnsi="仿宋" w:eastAsia="仿宋"/>
        <w:sz w:val="21"/>
        <w:szCs w:val="21"/>
      </w:rPr>
      <w:t>中庚汇建设发展有限公司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42"/>
    <w:rsid w:val="00027EFE"/>
    <w:rsid w:val="00094F27"/>
    <w:rsid w:val="00096542"/>
    <w:rsid w:val="00107E82"/>
    <w:rsid w:val="00163F76"/>
    <w:rsid w:val="001D3E6A"/>
    <w:rsid w:val="00296EB3"/>
    <w:rsid w:val="002C424E"/>
    <w:rsid w:val="002F09EE"/>
    <w:rsid w:val="00396161"/>
    <w:rsid w:val="003A6589"/>
    <w:rsid w:val="003B0B43"/>
    <w:rsid w:val="00500B20"/>
    <w:rsid w:val="00526DE0"/>
    <w:rsid w:val="00616C3E"/>
    <w:rsid w:val="00665582"/>
    <w:rsid w:val="00950F74"/>
    <w:rsid w:val="00A605DA"/>
    <w:rsid w:val="00AF4FC3"/>
    <w:rsid w:val="00BC6BF9"/>
    <w:rsid w:val="00BD7A25"/>
    <w:rsid w:val="00C64A34"/>
    <w:rsid w:val="00CF57BB"/>
    <w:rsid w:val="00D20D1C"/>
    <w:rsid w:val="00DB54C4"/>
    <w:rsid w:val="00DC1E07"/>
    <w:rsid w:val="00E63590"/>
    <w:rsid w:val="00E6505A"/>
    <w:rsid w:val="00EF380E"/>
    <w:rsid w:val="00F642C2"/>
    <w:rsid w:val="00F66032"/>
    <w:rsid w:val="7FCE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批注框文本 字符"/>
    <w:basedOn w:val="6"/>
    <w:link w:val="2"/>
    <w:semiHidden/>
    <w:qFormat/>
    <w:uiPriority w:val="99"/>
    <w:rPr>
      <w:sz w:val="18"/>
      <w:szCs w:val="18"/>
    </w:r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1369</Characters>
  <Lines>11</Lines>
  <Paragraphs>3</Paragraphs>
  <TotalTime>0</TotalTime>
  <ScaleCrop>false</ScaleCrop>
  <LinksUpToDate>false</LinksUpToDate>
  <CharactersWithSpaces>1606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2018-11-09T00:44:00Z</dcterms:created>
  <dc:creator>Yangoadmin</dc:creator>
  <cp:lastModifiedBy>Administrator</cp:lastModifiedBy>
  <cp:lastPrinted>2018-11-09T01:46:00Z</cp:lastPrinted>
  <dcterms:modified xsi:type="dcterms:W3CDTF">2018-11-12T06:15:11Z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